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D3" w:rsidRDefault="008C087C">
      <w:pPr>
        <w:spacing w:after="120" w:line="264" w:lineRule="auto"/>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3187700</wp:posOffset>
                </wp:positionH>
                <wp:positionV relativeFrom="paragraph">
                  <wp:posOffset>7621</wp:posOffset>
                </wp:positionV>
                <wp:extent cx="1940560" cy="26606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380483" y="3651730"/>
                          <a:ext cx="1931035"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E73D3" w:rsidRDefault="008C087C">
                            <w:pPr>
                              <w:spacing w:after="120" w:line="264" w:lineRule="auto"/>
                              <w:textDirection w:val="btLr"/>
                            </w:pPr>
                            <w:r>
                              <w:rPr>
                                <w:rFonts w:ascii="Times New Roman" w:eastAsia="Times New Roman" w:hAnsi="Times New Roman" w:cs="Times New Roman"/>
                                <w:b/>
                                <w:i/>
                                <w:color w:val="000000"/>
                                <w:sz w:val="24"/>
                              </w:rPr>
                              <w:t>Form for the Counterclaim ĐƠN KIỆN LẠI</w:t>
                            </w:r>
                          </w:p>
                          <w:p w:rsidR="00DE73D3" w:rsidRDefault="00DE73D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251pt;margin-top:.6pt;width:152.8pt;height:20.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">
                <v:stroke startarrowwidth="narrow" startarrowlength="short" endarrowwidth="narrow" endarrowlength="short"/>
                <v:textbox inset="2.53958mm,1.2694mm,2.53958mm,1.2694mm">
                  <w:txbxContent>
                    <w:p w:rsidR="00DE73D3" w:rsidRDefault="008C087C">
                      <w:pPr>
                        <w:spacing w:after="120" w:line="264" w:lineRule="auto"/>
                        <w:textDirection w:val="btLr"/>
                      </w:pPr>
                      <w:r>
                        <w:rPr>
                          <w:rFonts w:ascii="Times New Roman" w:eastAsia="Times New Roman" w:hAnsi="Times New Roman" w:cs="Times New Roman"/>
                          <w:b/>
                          <w:i/>
                          <w:color w:val="000000"/>
                          <w:sz w:val="24"/>
                        </w:rPr>
                        <w:t>Form for the Counterclaim ĐƠN KIỆN LẠI</w:t>
                      </w:r>
                    </w:p>
                    <w:p w:rsidR="00DE73D3" w:rsidRDefault="00DE73D3">
                      <w:pPr>
                        <w:spacing w:line="258" w:lineRule="auto"/>
                        <w:textDirection w:val="btLr"/>
                      </w:pPr>
                    </w:p>
                  </w:txbxContent>
                </v:textbox>
                <w10:wrap type="square"/>
              </v:rect>
            </w:pict>
          </mc:Fallback>
        </mc:AlternateContent>
      </w:r>
    </w:p>
    <w:p w:rsidR="00DE73D3" w:rsidRDefault="00DE73D3">
      <w:pPr>
        <w:spacing w:after="120" w:line="264" w:lineRule="auto"/>
        <w:jc w:val="center"/>
        <w:rPr>
          <w:rFonts w:ascii="Times New Roman" w:eastAsia="Times New Roman" w:hAnsi="Times New Roman" w:cs="Times New Roman"/>
          <w:b/>
          <w:sz w:val="24"/>
          <w:szCs w:val="24"/>
        </w:rPr>
      </w:pPr>
    </w:p>
    <w:p w:rsidR="00DE73D3" w:rsidRPr="00296FE2" w:rsidRDefault="008C087C">
      <w:pPr>
        <w:spacing w:after="120" w:line="264" w:lineRule="auto"/>
        <w:jc w:val="right"/>
        <w:rPr>
          <w:rFonts w:ascii="Times New Roman" w:eastAsia="Times New Roman" w:hAnsi="Times New Roman" w:cs="Times New Roman"/>
          <w:i/>
          <w:sz w:val="24"/>
          <w:szCs w:val="24"/>
        </w:rPr>
      </w:pPr>
      <w:r w:rsidRPr="00296FE2">
        <w:rPr>
          <w:rFonts w:ascii="Times New Roman" w:eastAsia="Times New Roman" w:hAnsi="Times New Roman" w:cs="Times New Roman"/>
          <w:i/>
          <w:sz w:val="24"/>
          <w:szCs w:val="24"/>
        </w:rPr>
        <w:t xml:space="preserve">Place and date </w:t>
      </w:r>
    </w:p>
    <w:p w:rsidR="00DE73D3" w:rsidRDefault="008C087C">
      <w:pPr>
        <w:spacing w:after="12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73D3" w:rsidRDefault="008C087C">
      <w:pPr>
        <w:tabs>
          <w:tab w:val="left" w:pos="924"/>
          <w:tab w:val="center" w:pos="4153"/>
        </w:tabs>
        <w:spacing w:after="120" w:line="264"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883D1E">
        <w:rPr>
          <w:rFonts w:ascii="Times New Roman" w:eastAsia="Times New Roman" w:hAnsi="Times New Roman" w:cs="Times New Roman"/>
          <w:b/>
          <w:sz w:val="28"/>
          <w:szCs w:val="28"/>
        </w:rPr>
        <w:t>COUNTERCLAIM</w:t>
      </w:r>
    </w:p>
    <w:p w:rsidR="00DE73D3" w:rsidRDefault="008C087C">
      <w:pPr>
        <w:spacing w:after="120" w:line="264"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Subject: Dispute N</w:t>
      </w:r>
      <w:r>
        <w:rPr>
          <w:rFonts w:ascii="Times New Roman" w:eastAsia="Times New Roman" w:hAnsi="Times New Roman" w:cs="Times New Roman"/>
          <w:i/>
          <w:sz w:val="28"/>
          <w:szCs w:val="28"/>
          <w:vertAlign w:val="superscript"/>
        </w:rPr>
        <w:t>o</w:t>
      </w:r>
      <w:r>
        <w:rPr>
          <w:rFonts w:ascii="Times New Roman" w:eastAsia="Times New Roman" w:hAnsi="Times New Roman" w:cs="Times New Roman"/>
          <w:i/>
          <w:sz w:val="28"/>
          <w:szCs w:val="28"/>
        </w:rPr>
        <w:t xml:space="preserve"> … between … (Name of Claimant and Respondent) </w:t>
      </w:r>
    </w:p>
    <w:p w:rsidR="00DE73D3" w:rsidRDefault="00DE73D3">
      <w:pPr>
        <w:spacing w:after="120" w:line="264" w:lineRule="auto"/>
        <w:ind w:firstLine="720"/>
        <w:jc w:val="both"/>
        <w:rPr>
          <w:rFonts w:ascii="Times New Roman" w:eastAsia="Times New Roman" w:hAnsi="Times New Roman" w:cs="Times New Roman"/>
          <w:sz w:val="24"/>
          <w:szCs w:val="24"/>
        </w:rPr>
      </w:pPr>
    </w:p>
    <w:p w:rsidR="00DE73D3" w:rsidRDefault="008C087C">
      <w:pPr>
        <w:spacing w:after="120" w:line="264"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To: HTA Commercial Arbitration Center</w:t>
      </w:r>
    </w:p>
    <w:p w:rsidR="00DE73D3" w:rsidRDefault="00DE73D3">
      <w:pPr>
        <w:spacing w:after="120" w:line="264" w:lineRule="auto"/>
        <w:jc w:val="both"/>
        <w:rPr>
          <w:rFonts w:ascii="Times New Roman" w:eastAsia="Times New Roman" w:hAnsi="Times New Roman" w:cs="Times New Roman"/>
          <w:sz w:val="24"/>
          <w:szCs w:val="24"/>
        </w:rPr>
      </w:pPr>
    </w:p>
    <w:p w:rsidR="00DE73D3" w:rsidRDefault="00883D1E">
      <w:pPr>
        <w:widowControl w:val="0"/>
        <w:numPr>
          <w:ilvl w:val="0"/>
          <w:numId w:val="1"/>
        </w:numPr>
        <w:pBdr>
          <w:top w:val="nil"/>
          <w:left w:val="nil"/>
          <w:bottom w:val="nil"/>
          <w:right w:val="nil"/>
          <w:between w:val="nil"/>
        </w:pBdr>
        <w:spacing w:after="120" w:line="264"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Disputing Parties</w:t>
      </w:r>
    </w:p>
    <w:p w:rsidR="00DE73D3" w:rsidRDefault="008C087C">
      <w:pPr>
        <w:widowControl w:val="0"/>
        <w:tabs>
          <w:tab w:val="left" w:pos="376"/>
        </w:tabs>
        <w:spacing w:after="12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Respondent (Counter claimant):</w:t>
      </w:r>
      <w:r>
        <w:rPr>
          <w:rFonts w:ascii="Times New Roman" w:eastAsia="Times New Roman" w:hAnsi="Times New Roman" w:cs="Times New Roman"/>
          <w:sz w:val="26"/>
          <w:szCs w:val="26"/>
        </w:rPr>
        <w:t xml:space="preserve"> ………………………………………</w:t>
      </w:r>
    </w:p>
    <w:p w:rsidR="00DE73D3" w:rsidRDefault="008C087C">
      <w:pPr>
        <w:widowControl w:val="0"/>
        <w:tabs>
          <w:tab w:val="left" w:pos="376"/>
        </w:tabs>
        <w:spacing w:after="120" w:line="264" w:lineRule="auto"/>
        <w:ind w:left="720" w:right="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Legal Representative: Mr. / Mrs. ……………………………….</w:t>
      </w:r>
    </w:p>
    <w:p w:rsidR="00DE73D3" w:rsidRDefault="008C087C">
      <w:pPr>
        <w:spacing w:after="12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Address: ……………………………………………………………</w:t>
      </w:r>
    </w:p>
    <w:p w:rsidR="00DE73D3" w:rsidRDefault="008C087C">
      <w:pPr>
        <w:tabs>
          <w:tab w:val="left" w:pos="4463"/>
        </w:tabs>
        <w:spacing w:after="12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Telephone: ……………………</w:t>
      </w:r>
      <w:r>
        <w:rPr>
          <w:rFonts w:ascii="Times New Roman" w:eastAsia="Times New Roman" w:hAnsi="Times New Roman" w:cs="Times New Roman"/>
          <w:sz w:val="26"/>
          <w:szCs w:val="26"/>
        </w:rPr>
        <w:tab/>
        <w:t>Fax: ………………………….</w:t>
      </w:r>
    </w:p>
    <w:p w:rsidR="00DE73D3" w:rsidRDefault="008C087C" w:rsidP="00296FE2">
      <w:pPr>
        <w:spacing w:after="12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Authorized represe</w:t>
      </w:r>
      <w:bookmarkStart w:id="0" w:name="_GoBack"/>
      <w:bookmarkEnd w:id="0"/>
      <w:r>
        <w:rPr>
          <w:rFonts w:ascii="Times New Roman" w:eastAsia="Times New Roman" w:hAnsi="Times New Roman" w:cs="Times New Roman"/>
          <w:sz w:val="26"/>
          <w:szCs w:val="26"/>
        </w:rPr>
        <w:t>ntative (if any): Mr. / Mrs. ………………-</w:t>
      </w:r>
      <w:r w:rsidR="00296FE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followed the power of attorney (or Authorization contract) dated ……..</w:t>
      </w:r>
    </w:p>
    <w:p w:rsidR="00DE73D3" w:rsidRDefault="008C087C" w:rsidP="00296FE2">
      <w:pPr>
        <w:widowControl w:val="0"/>
        <w:pBdr>
          <w:top w:val="nil"/>
          <w:left w:val="nil"/>
          <w:bottom w:val="nil"/>
          <w:right w:val="nil"/>
          <w:between w:val="nil"/>
        </w:pBdr>
        <w:spacing w:after="120" w:line="264" w:lineRule="auto"/>
        <w:ind w:left="1440" w:right="29"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Claimant (</w:t>
      </w:r>
      <w:hyperlink r:id="rId8">
        <w:r>
          <w:rPr>
            <w:rFonts w:ascii="Times New Roman" w:eastAsia="Times New Roman" w:hAnsi="Times New Roman" w:cs="Times New Roman"/>
            <w:b/>
            <w:color w:val="000000"/>
            <w:sz w:val="26"/>
            <w:szCs w:val="26"/>
          </w:rPr>
          <w:t>Counter defendant</w:t>
        </w:r>
      </w:hyperlink>
      <w:r>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 </w:t>
      </w:r>
    </w:p>
    <w:p w:rsidR="00DE73D3" w:rsidRDefault="008C087C">
      <w:pPr>
        <w:widowControl w:val="0"/>
        <w:tabs>
          <w:tab w:val="left" w:pos="376"/>
        </w:tabs>
        <w:spacing w:after="0" w:line="264" w:lineRule="auto"/>
        <w:ind w:left="720" w:right="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Legal Representative: Mr. / Mrs. ……………………………….</w:t>
      </w:r>
    </w:p>
    <w:p w:rsidR="00DE73D3" w:rsidRDefault="008C087C">
      <w:pPr>
        <w:spacing w:after="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Address: ……………………………………………………………</w:t>
      </w:r>
    </w:p>
    <w:p w:rsidR="00DE73D3" w:rsidRDefault="008C087C" w:rsidP="00296FE2">
      <w:pPr>
        <w:tabs>
          <w:tab w:val="left" w:pos="4463"/>
        </w:tabs>
        <w:spacing w:after="120" w:line="264"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Telephone: ……………………</w:t>
      </w:r>
      <w:r>
        <w:rPr>
          <w:rFonts w:ascii="Times New Roman" w:eastAsia="Times New Roman" w:hAnsi="Times New Roman" w:cs="Times New Roman"/>
          <w:sz w:val="26"/>
          <w:szCs w:val="26"/>
        </w:rPr>
        <w:tab/>
        <w:t>Fax: ………………………….</w:t>
      </w:r>
    </w:p>
    <w:p w:rsidR="00296FE2" w:rsidRDefault="008C087C">
      <w:pPr>
        <w:widowControl w:val="0"/>
        <w:numPr>
          <w:ilvl w:val="0"/>
          <w:numId w:val="1"/>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Summary of the content of the dispute</w:t>
      </w:r>
      <w:r w:rsidR="00296FE2">
        <w:rPr>
          <w:rFonts w:ascii="Times New Roman" w:eastAsia="Times New Roman" w:hAnsi="Times New Roman" w:cs="Times New Roman"/>
          <w:b/>
          <w:color w:val="000000"/>
          <w:sz w:val="26"/>
          <w:szCs w:val="26"/>
          <w:vertAlign w:val="superscript"/>
        </w:rPr>
        <w:endnoteReference w:id="1"/>
      </w:r>
    </w:p>
    <w:p w:rsidR="00296FE2" w:rsidRDefault="00296FE2">
      <w:pPr>
        <w:widowControl w:val="0"/>
        <w:numPr>
          <w:ilvl w:val="0"/>
          <w:numId w:val="5"/>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Indicate information about the Contract which a dispute arises from or relates to.</w:t>
      </w:r>
    </w:p>
    <w:p w:rsidR="00296FE2" w:rsidRDefault="00296FE2">
      <w:pPr>
        <w:widowControl w:val="0"/>
        <w:numPr>
          <w:ilvl w:val="0"/>
          <w:numId w:val="5"/>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 xml:space="preserve">Explain the rights and obligations of the parties under the contract, the performances of the contractual obligations by the parties, and the contractual violation of the Claimant (Counter defendant) </w:t>
      </w:r>
    </w:p>
    <w:p w:rsidR="00296FE2" w:rsidRDefault="00296FE2" w:rsidP="00296FE2">
      <w:pPr>
        <w:widowControl w:val="0"/>
        <w:numPr>
          <w:ilvl w:val="0"/>
          <w:numId w:val="5"/>
        </w:numPr>
        <w:pBdr>
          <w:top w:val="nil"/>
          <w:left w:val="nil"/>
          <w:bottom w:val="nil"/>
          <w:right w:val="nil"/>
          <w:between w:val="nil"/>
        </w:pBdr>
        <w:spacing w:after="120" w:line="264" w:lineRule="auto"/>
        <w:jc w:val="both"/>
        <w:rPr>
          <w:color w:val="000000"/>
        </w:rPr>
      </w:pPr>
      <w:r>
        <w:rPr>
          <w:rFonts w:ascii="Times New Roman" w:eastAsia="Times New Roman" w:hAnsi="Times New Roman" w:cs="Times New Roman"/>
          <w:color w:val="000000"/>
          <w:sz w:val="26"/>
          <w:szCs w:val="26"/>
        </w:rPr>
        <w:t>Describe the approaches applied by the Respondent (Counter claimant) in order to request the Claimant (Counter defendant) to properly follow the contract, and the Claimant’s (Counter defendant’s) failure to do so.</w:t>
      </w:r>
    </w:p>
    <w:p w:rsidR="00296FE2" w:rsidRDefault="00296FE2">
      <w:pPr>
        <w:numPr>
          <w:ilvl w:val="0"/>
          <w:numId w:val="1"/>
        </w:numPr>
        <w:pBdr>
          <w:top w:val="nil"/>
          <w:left w:val="nil"/>
          <w:bottom w:val="nil"/>
          <w:right w:val="nil"/>
          <w:between w:val="nil"/>
        </w:pBdr>
        <w:spacing w:after="120" w:line="264"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6"/>
          <w:szCs w:val="26"/>
        </w:rPr>
        <w:t>Basis of lawsuit</w:t>
      </w:r>
      <w:r>
        <w:rPr>
          <w:rFonts w:ascii="Times New Roman" w:eastAsia="Times New Roman" w:hAnsi="Times New Roman" w:cs="Times New Roman"/>
          <w:b/>
          <w:color w:val="000000"/>
          <w:sz w:val="24"/>
          <w:szCs w:val="24"/>
          <w:vertAlign w:val="superscript"/>
        </w:rPr>
        <w:t xml:space="preserve"> </w:t>
      </w:r>
      <w:r>
        <w:rPr>
          <w:rFonts w:ascii="Times New Roman" w:eastAsia="Times New Roman" w:hAnsi="Times New Roman" w:cs="Times New Roman"/>
          <w:b/>
          <w:color w:val="000000"/>
          <w:sz w:val="24"/>
          <w:szCs w:val="24"/>
          <w:vertAlign w:val="superscript"/>
        </w:rPr>
        <w:endnoteReference w:id="2"/>
      </w:r>
    </w:p>
    <w:p w:rsidR="00296FE2" w:rsidRDefault="00296FE2">
      <w:pPr>
        <w:spacing w:after="120" w:line="264"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Respondent (Counter claimant) presents the legal basis, including contractual arrangements, legal provisions, commercial practices, and evidence for the counterclaim.</w:t>
      </w:r>
    </w:p>
    <w:p w:rsidR="00296FE2" w:rsidRDefault="00296FE2">
      <w:pPr>
        <w:widowControl w:val="0"/>
        <w:numPr>
          <w:ilvl w:val="0"/>
          <w:numId w:val="1"/>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Value of the counterclaim of the Respondent (Counter claimant)</w:t>
      </w:r>
    </w:p>
    <w:p w:rsidR="00DE73D3" w:rsidRDefault="00296FE2">
      <w:pPr>
        <w:widowControl w:val="0"/>
        <w:numPr>
          <w:ilvl w:val="1"/>
          <w:numId w:val="2"/>
        </w:numPr>
        <w:pBdr>
          <w:top w:val="nil"/>
          <w:left w:val="nil"/>
          <w:bottom w:val="nil"/>
          <w:right w:val="nil"/>
          <w:between w:val="nil"/>
        </w:pBdr>
        <w:tabs>
          <w:tab w:val="left" w:pos="643"/>
        </w:tabs>
        <w:spacing w:after="0" w:line="264" w:lineRule="auto"/>
        <w:ind w:right="28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Value of the counterclaim</w:t>
      </w:r>
      <w:r>
        <w:rPr>
          <w:rFonts w:ascii="Times New Roman" w:eastAsia="Times New Roman" w:hAnsi="Times New Roman" w:cs="Times New Roman"/>
          <w:color w:val="000000"/>
          <w:sz w:val="26"/>
          <w:szCs w:val="26"/>
          <w:vertAlign w:val="superscript"/>
        </w:rPr>
        <w:endnoteReference w:id="3"/>
      </w:r>
      <w:r>
        <w:rPr>
          <w:rFonts w:ascii="Times New Roman" w:eastAsia="Times New Roman" w:hAnsi="Times New Roman" w:cs="Times New Roman"/>
          <w:color w:val="000000"/>
          <w:sz w:val="26"/>
          <w:szCs w:val="26"/>
        </w:rPr>
        <w:t>:</w:t>
      </w:r>
      <w:r w:rsidR="008C087C">
        <w:rPr>
          <w:rFonts w:ascii="Times New Roman" w:eastAsia="Times New Roman" w:hAnsi="Times New Roman" w:cs="Times New Roman"/>
          <w:color w:val="000000"/>
          <w:sz w:val="26"/>
          <w:szCs w:val="26"/>
        </w:rPr>
        <w:t xml:space="preserve"> ………………………………….</w:t>
      </w:r>
    </w:p>
    <w:p w:rsidR="00DE73D3" w:rsidRDefault="008C087C">
      <w:pPr>
        <w:widowControl w:val="0"/>
        <w:numPr>
          <w:ilvl w:val="1"/>
          <w:numId w:val="2"/>
        </w:numPr>
        <w:pBdr>
          <w:top w:val="nil"/>
          <w:left w:val="nil"/>
          <w:bottom w:val="nil"/>
          <w:right w:val="nil"/>
          <w:between w:val="nil"/>
        </w:pBdr>
        <w:tabs>
          <w:tab w:val="left" w:pos="643"/>
        </w:tabs>
        <w:spacing w:after="0" w:line="264" w:lineRule="auto"/>
        <w:ind w:right="28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Specific requirements of the Respondent (for example):</w:t>
      </w:r>
    </w:p>
    <w:p w:rsidR="00DE73D3" w:rsidRDefault="008C087C">
      <w:pPr>
        <w:widowControl w:val="0"/>
        <w:numPr>
          <w:ilvl w:val="0"/>
          <w:numId w:val="4"/>
        </w:numPr>
        <w:pBdr>
          <w:top w:val="nil"/>
          <w:left w:val="nil"/>
          <w:bottom w:val="nil"/>
          <w:right w:val="nil"/>
          <w:between w:val="nil"/>
        </w:pBdr>
        <w:tabs>
          <w:tab w:val="left" w:pos="797"/>
        </w:tabs>
        <w:spacing w:after="0" w:line="264" w:lineRule="auto"/>
        <w:ind w:right="282"/>
        <w:jc w:val="both"/>
        <w:rPr>
          <w:color w:val="000000"/>
        </w:rPr>
      </w:pPr>
      <w:r>
        <w:rPr>
          <w:rFonts w:ascii="Times New Roman" w:eastAsia="Times New Roman" w:hAnsi="Times New Roman" w:cs="Times New Roman"/>
          <w:color w:val="000000"/>
          <w:sz w:val="26"/>
          <w:szCs w:val="26"/>
        </w:rPr>
        <w:t>Request for payment of goods, service remuneration, insurance compensation;</w:t>
      </w:r>
    </w:p>
    <w:p w:rsidR="00DE73D3" w:rsidRDefault="008C087C">
      <w:pPr>
        <w:widowControl w:val="0"/>
        <w:numPr>
          <w:ilvl w:val="0"/>
          <w:numId w:val="4"/>
        </w:numPr>
        <w:pBdr>
          <w:top w:val="nil"/>
          <w:left w:val="nil"/>
          <w:bottom w:val="nil"/>
          <w:right w:val="nil"/>
          <w:between w:val="nil"/>
        </w:pBdr>
        <w:tabs>
          <w:tab w:val="left" w:pos="797"/>
        </w:tabs>
        <w:spacing w:after="0" w:line="264" w:lineRule="auto"/>
        <w:ind w:right="282"/>
        <w:jc w:val="both"/>
        <w:rPr>
          <w:color w:val="000000"/>
        </w:rPr>
      </w:pPr>
      <w:r>
        <w:rPr>
          <w:rFonts w:ascii="Times New Roman" w:eastAsia="Times New Roman" w:hAnsi="Times New Roman" w:cs="Times New Roman"/>
          <w:color w:val="000000"/>
          <w:sz w:val="26"/>
          <w:szCs w:val="26"/>
        </w:rPr>
        <w:t>Request for delivery of missing goods or continuation of work;</w:t>
      </w:r>
    </w:p>
    <w:p w:rsidR="00DE73D3" w:rsidRDefault="008C087C">
      <w:pPr>
        <w:widowControl w:val="0"/>
        <w:numPr>
          <w:ilvl w:val="0"/>
          <w:numId w:val="4"/>
        </w:numPr>
        <w:pBdr>
          <w:top w:val="nil"/>
          <w:left w:val="nil"/>
          <w:bottom w:val="nil"/>
          <w:right w:val="nil"/>
          <w:between w:val="nil"/>
        </w:pBdr>
        <w:tabs>
          <w:tab w:val="left" w:pos="797"/>
        </w:tabs>
        <w:spacing w:after="0" w:line="264" w:lineRule="auto"/>
        <w:ind w:right="282"/>
        <w:jc w:val="both"/>
        <w:rPr>
          <w:color w:val="000000"/>
        </w:rPr>
      </w:pPr>
      <w:r>
        <w:rPr>
          <w:rFonts w:ascii="Times New Roman" w:eastAsia="Times New Roman" w:hAnsi="Times New Roman" w:cs="Times New Roman"/>
          <w:color w:val="000000"/>
          <w:sz w:val="26"/>
          <w:szCs w:val="26"/>
        </w:rPr>
        <w:t>Request fine for breach of contract, claim for damages;</w:t>
      </w:r>
    </w:p>
    <w:p w:rsidR="00DE73D3" w:rsidRDefault="008C087C">
      <w:pPr>
        <w:widowControl w:val="0"/>
        <w:numPr>
          <w:ilvl w:val="0"/>
          <w:numId w:val="4"/>
        </w:numPr>
        <w:pBdr>
          <w:top w:val="nil"/>
          <w:left w:val="nil"/>
          <w:bottom w:val="nil"/>
          <w:right w:val="nil"/>
          <w:between w:val="nil"/>
        </w:pBdr>
        <w:tabs>
          <w:tab w:val="left" w:pos="797"/>
        </w:tabs>
        <w:spacing w:after="0" w:line="264" w:lineRule="auto"/>
        <w:ind w:right="282"/>
        <w:jc w:val="both"/>
        <w:rPr>
          <w:color w:val="000000"/>
        </w:rPr>
      </w:pPr>
      <w:r>
        <w:rPr>
          <w:rFonts w:ascii="Times New Roman" w:eastAsia="Times New Roman" w:hAnsi="Times New Roman" w:cs="Times New Roman"/>
          <w:color w:val="000000"/>
          <w:sz w:val="26"/>
          <w:szCs w:val="26"/>
        </w:rPr>
        <w:t>Request for interest due to delayed payment for goods and service charges;</w:t>
      </w:r>
    </w:p>
    <w:p w:rsidR="00DE73D3" w:rsidRDefault="008C087C">
      <w:pPr>
        <w:widowControl w:val="0"/>
        <w:numPr>
          <w:ilvl w:val="0"/>
          <w:numId w:val="4"/>
        </w:numPr>
        <w:pBdr>
          <w:top w:val="nil"/>
          <w:left w:val="nil"/>
          <w:bottom w:val="nil"/>
          <w:right w:val="nil"/>
          <w:between w:val="nil"/>
        </w:pBdr>
        <w:tabs>
          <w:tab w:val="left" w:pos="797"/>
        </w:tabs>
        <w:spacing w:after="120" w:line="264" w:lineRule="auto"/>
        <w:ind w:right="282"/>
        <w:jc w:val="both"/>
        <w:rPr>
          <w:color w:val="000000"/>
        </w:rPr>
      </w:pPr>
      <w:r>
        <w:rPr>
          <w:rFonts w:ascii="Times New Roman" w:eastAsia="Times New Roman" w:hAnsi="Times New Roman" w:cs="Times New Roman"/>
          <w:color w:val="000000"/>
          <w:sz w:val="26"/>
          <w:szCs w:val="26"/>
        </w:rPr>
        <w:t>Other requirements, if any.</w:t>
      </w:r>
    </w:p>
    <w:p w:rsidR="00DE73D3" w:rsidRDefault="008C087C">
      <w:pPr>
        <w:numPr>
          <w:ilvl w:val="0"/>
          <w:numId w:val="1"/>
        </w:numPr>
        <w:pBdr>
          <w:top w:val="nil"/>
          <w:left w:val="nil"/>
          <w:bottom w:val="nil"/>
          <w:right w:val="nil"/>
          <w:between w:val="nil"/>
        </w:pBdr>
        <w:spacing w:after="0" w:line="264" w:lineRule="auto"/>
        <w:ind w:left="360" w:hanging="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Signature </w:t>
      </w:r>
    </w:p>
    <w:p w:rsidR="00DE73D3" w:rsidRDefault="008C087C">
      <w:pPr>
        <w:numPr>
          <w:ilvl w:val="0"/>
          <w:numId w:val="3"/>
        </w:numPr>
        <w:pBdr>
          <w:top w:val="nil"/>
          <w:left w:val="nil"/>
          <w:bottom w:val="nil"/>
          <w:right w:val="nil"/>
          <w:between w:val="nil"/>
        </w:pBdr>
        <w:spacing w:after="0" w:line="264" w:lineRule="auto"/>
        <w:jc w:val="both"/>
        <w:rPr>
          <w:color w:val="000000"/>
        </w:rPr>
      </w:pPr>
      <w:r>
        <w:rPr>
          <w:rFonts w:ascii="Times New Roman" w:eastAsia="Times New Roman" w:hAnsi="Times New Roman" w:cs="Times New Roman"/>
          <w:color w:val="000000"/>
          <w:sz w:val="26"/>
          <w:szCs w:val="26"/>
        </w:rPr>
        <w:t>Signature of the legal representative or an authorized representative (attached valid authorization) of the Respondent (Counter claimant) in case the Respondent is an organization.</w:t>
      </w:r>
    </w:p>
    <w:p w:rsidR="00DE73D3" w:rsidRDefault="008C087C">
      <w:pPr>
        <w:numPr>
          <w:ilvl w:val="0"/>
          <w:numId w:val="3"/>
        </w:numPr>
        <w:pBdr>
          <w:top w:val="nil"/>
          <w:left w:val="nil"/>
          <w:bottom w:val="nil"/>
          <w:right w:val="nil"/>
          <w:between w:val="nil"/>
        </w:pBdr>
        <w:spacing w:after="120" w:line="264" w:lineRule="auto"/>
        <w:jc w:val="both"/>
        <w:rPr>
          <w:color w:val="000000"/>
        </w:rPr>
      </w:pPr>
      <w:r>
        <w:rPr>
          <w:rFonts w:ascii="Times New Roman" w:eastAsia="Times New Roman" w:hAnsi="Times New Roman" w:cs="Times New Roman"/>
          <w:color w:val="000000"/>
          <w:sz w:val="26"/>
          <w:szCs w:val="26"/>
        </w:rPr>
        <w:t>Signature of the Respondent (Counter claimant) or an authorized representative (attached valid authorization) in case the Respondent is an individual.</w:t>
      </w:r>
    </w:p>
    <w:sectPr w:rsidR="00DE73D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BF" w:rsidRDefault="00C370BF">
      <w:pPr>
        <w:spacing w:after="0" w:line="240" w:lineRule="auto"/>
      </w:pPr>
      <w:r>
        <w:separator/>
      </w:r>
    </w:p>
  </w:endnote>
  <w:endnote w:type="continuationSeparator" w:id="0">
    <w:p w:rsidR="00C370BF" w:rsidRDefault="00C370BF">
      <w:pPr>
        <w:spacing w:after="0" w:line="240" w:lineRule="auto"/>
      </w:pPr>
      <w:r>
        <w:continuationSeparator/>
      </w:r>
    </w:p>
  </w:endnote>
  <w:endnote w:id="1">
    <w:p w:rsidR="00296FE2" w:rsidRDefault="00296FE2">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vertAlign w:val="superscript"/>
        </w:rPr>
        <w:endnoteRef/>
      </w:r>
      <w:r>
        <w:rPr>
          <w:rFonts w:ascii="Times New Roman" w:eastAsia="Times New Roman" w:hAnsi="Times New Roman" w:cs="Times New Roman"/>
          <w:color w:val="000000"/>
        </w:rPr>
        <w:t xml:space="preserve"> This content helps the Arbitral Tribunal to get an overview of the details and developments of the dispute. In the course of arbitration proceedings, the Respondent (Counter claimant) has the right to amend and supplement this content.</w:t>
      </w:r>
    </w:p>
  </w:endnote>
  <w:endnote w:id="2">
    <w:p w:rsidR="00296FE2" w:rsidRDefault="00296FE2">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vertAlign w:val="superscript"/>
        </w:rPr>
        <w:endnoteRef/>
      </w:r>
      <w:r>
        <w:rPr>
          <w:rFonts w:ascii="Times New Roman" w:eastAsia="Times New Roman" w:hAnsi="Times New Roman" w:cs="Times New Roman"/>
          <w:color w:val="000000"/>
        </w:rPr>
        <w:t xml:space="preserve"> In the course of arbitration proceedings, the Respondent (Counter claimant) has the right to amend and supplement this content. The Arbitral Tribunal may also request the Respondent (Counter claimant) to provide further explanation or additional evidence if it is deemed necessary to resolve the dispute.</w:t>
      </w:r>
    </w:p>
  </w:endnote>
  <w:endnote w:id="3">
    <w:p w:rsidR="00296FE2" w:rsidRDefault="00296FE2">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vertAlign w:val="superscript"/>
        </w:rPr>
        <w:endnoteRef/>
      </w:r>
      <w:r>
        <w:rPr>
          <w:rFonts w:ascii="Times New Roman" w:eastAsia="Times New Roman" w:hAnsi="Times New Roman" w:cs="Times New Roman"/>
          <w:color w:val="000000"/>
        </w:rPr>
        <w:t xml:space="preserve"> The Value of the Counterclaim is the sum of all monetary claims. The amount must be specified. The Value of the Counterclaim is the basis for HTA to calculate the arbitration fee upon the receipt of the Counterclaim.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E2" w:rsidRDefault="00296F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E2" w:rsidRDefault="00296F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D3" w:rsidRDefault="008C087C">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3D1E">
      <w:rPr>
        <w:noProof/>
        <w:color w:val="000000"/>
      </w:rPr>
      <w:t>1</w:t>
    </w:r>
    <w:r>
      <w:rPr>
        <w:color w:val="000000"/>
      </w:rPr>
      <w:fldChar w:fldCharType="end"/>
    </w:r>
    <w:r>
      <w:rPr>
        <w:color w:val="000000"/>
      </w:rPr>
      <w:t xml:space="preserve"> | </w:t>
    </w:r>
    <w:r>
      <w:rPr>
        <w:color w:val="7F7F7F"/>
      </w:rPr>
      <w:t>Page</w:t>
    </w:r>
  </w:p>
  <w:p w:rsidR="00DE73D3" w:rsidRDefault="00DE73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BF" w:rsidRDefault="00C370BF">
      <w:pPr>
        <w:spacing w:after="0" w:line="240" w:lineRule="auto"/>
      </w:pPr>
      <w:r>
        <w:separator/>
      </w:r>
    </w:p>
  </w:footnote>
  <w:footnote w:type="continuationSeparator" w:id="0">
    <w:p w:rsidR="00C370BF" w:rsidRDefault="00C3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E2" w:rsidRDefault="00C370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543969" o:spid="_x0000_s2050" type="#_x0000_t75" style="position:absolute;margin-left:0;margin-top:0;width:414.55pt;height:543.95pt;z-index:-251657216;mso-position-horizontal:center;mso-position-horizontal-relative:margin;mso-position-vertical:center;mso-position-vertical-relative:margin" o:allowincell="f">
          <v:imagedata r:id="rId1" o:title="HT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E2" w:rsidRDefault="00C370B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543970" o:spid="_x0000_s2051" type="#_x0000_t75" style="position:absolute;margin-left:0;margin-top:0;width:414.55pt;height:543.95pt;z-index:-251656192;mso-position-horizontal:center;mso-position-horizontal-relative:margin;mso-position-vertical:center;mso-position-vertical-relative:margin" o:allowincell="f">
          <v:imagedata r:id="rId1" o:title="HT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D3" w:rsidRDefault="00C370B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543968" o:spid="_x0000_s2049" type="#_x0000_t75" style="position:absolute;left:0;text-align:left;margin-left:0;margin-top:0;width:414.55pt;height:543.95pt;z-index:-251658240;mso-position-horizontal:center;mso-position-horizontal-relative:margin;mso-position-vertical:center;mso-position-vertical-relative:margin" o:allowincell="f">
          <v:imagedata r:id="rId1" o:title="HTA LOGO" gain="19661f" blacklevel="22938f"/>
          <w10:wrap anchorx="margin" anchory="margin"/>
        </v:shape>
      </w:pict>
    </w:r>
    <w:r w:rsidR="008C087C">
      <w:rPr>
        <w:noProof/>
        <w:color w:val="000000"/>
      </w:rPr>
      <w:drawing>
        <wp:inline distT="0" distB="0" distL="0" distR="0">
          <wp:extent cx="3901440" cy="4267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901440" cy="4267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988"/>
    <w:multiLevelType w:val="multilevel"/>
    <w:tmpl w:val="A7A8418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2D648E9"/>
    <w:multiLevelType w:val="multilevel"/>
    <w:tmpl w:val="B7EECD50"/>
    <w:lvl w:ilvl="0">
      <w:start w:val="1"/>
      <w:numFmt w:val="decimal"/>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30016BC"/>
    <w:multiLevelType w:val="multilevel"/>
    <w:tmpl w:val="9C502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CF4FD1"/>
    <w:multiLevelType w:val="multilevel"/>
    <w:tmpl w:val="A26EE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326943"/>
    <w:multiLevelType w:val="multilevel"/>
    <w:tmpl w:val="DF82FF3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D3"/>
    <w:rsid w:val="00296FE2"/>
    <w:rsid w:val="003B75B8"/>
    <w:rsid w:val="00883D1E"/>
    <w:rsid w:val="008C087C"/>
    <w:rsid w:val="00911729"/>
    <w:rsid w:val="00BC5373"/>
    <w:rsid w:val="00C370BF"/>
    <w:rsid w:val="00DE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A3460E"/>
  <w15:docId w15:val="{C9962A03-1E70-4F27-8278-31D057A9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5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73"/>
    <w:rPr>
      <w:rFonts w:ascii="Segoe UI" w:hAnsi="Segoe UI" w:cs="Segoe UI"/>
      <w:sz w:val="18"/>
      <w:szCs w:val="18"/>
    </w:rPr>
  </w:style>
  <w:style w:type="paragraph" w:styleId="EndnoteText">
    <w:name w:val="endnote text"/>
    <w:basedOn w:val="Normal"/>
    <w:link w:val="EndnoteTextChar"/>
    <w:uiPriority w:val="99"/>
    <w:semiHidden/>
    <w:unhideWhenUsed/>
    <w:rsid w:val="00296F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FE2"/>
    <w:rPr>
      <w:sz w:val="20"/>
      <w:szCs w:val="20"/>
    </w:rPr>
  </w:style>
  <w:style w:type="paragraph" w:styleId="FootnoteText">
    <w:name w:val="footnote text"/>
    <w:basedOn w:val="Normal"/>
    <w:link w:val="FootnoteTextChar"/>
    <w:uiPriority w:val="99"/>
    <w:semiHidden/>
    <w:unhideWhenUsed/>
    <w:rsid w:val="00296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FE2"/>
    <w:rPr>
      <w:sz w:val="20"/>
      <w:szCs w:val="20"/>
    </w:rPr>
  </w:style>
  <w:style w:type="character" w:styleId="EndnoteReference">
    <w:name w:val="endnote reference"/>
    <w:basedOn w:val="DefaultParagraphFont"/>
    <w:uiPriority w:val="99"/>
    <w:semiHidden/>
    <w:unhideWhenUsed/>
    <w:rsid w:val="00296FE2"/>
    <w:rPr>
      <w:vertAlign w:val="superscript"/>
    </w:rPr>
  </w:style>
  <w:style w:type="character" w:styleId="FootnoteReference">
    <w:name w:val="footnote reference"/>
    <w:basedOn w:val="DefaultParagraphFont"/>
    <w:uiPriority w:val="99"/>
    <w:semiHidden/>
    <w:unhideWhenUsed/>
    <w:rsid w:val="00296FE2"/>
    <w:rPr>
      <w:vertAlign w:val="superscript"/>
    </w:rPr>
  </w:style>
  <w:style w:type="paragraph" w:styleId="Header">
    <w:name w:val="header"/>
    <w:basedOn w:val="Normal"/>
    <w:link w:val="HeaderChar"/>
    <w:uiPriority w:val="99"/>
    <w:unhideWhenUsed/>
    <w:rsid w:val="0029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E2"/>
  </w:style>
  <w:style w:type="paragraph" w:styleId="Footer">
    <w:name w:val="footer"/>
    <w:basedOn w:val="Normal"/>
    <w:link w:val="FooterChar"/>
    <w:uiPriority w:val="99"/>
    <w:unhideWhenUsed/>
    <w:rsid w:val="0029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ict.cc/englisch-deutsch/counterdefendan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53A2-580B-428E-AFF5-25E53BE1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Đặng Phương</cp:lastModifiedBy>
  <cp:revision>3</cp:revision>
  <dcterms:created xsi:type="dcterms:W3CDTF">2019-09-18T09:12:00Z</dcterms:created>
  <dcterms:modified xsi:type="dcterms:W3CDTF">2019-09-18T09:49:00Z</dcterms:modified>
</cp:coreProperties>
</file>